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（六标段）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项目（2022至2023年度）（六标段）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深圳市深汕特别合作区（以下简称合作区）圆墩林场、赤石片区6座小型水库和7条主要河流有序运营维护，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（2022至2023年度）（六标段）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圆墩林场、赤石镇</w:t>
      </w:r>
      <w:r>
        <w:rPr>
          <w:rFonts w:hint="eastAsia"/>
        </w:rPr>
        <w:t>内</w:t>
      </w:r>
      <w:r>
        <w:rPr>
          <w:rFonts w:hint="eastAsia"/>
          <w:lang w:val="en-US"/>
        </w:rPr>
        <w:t>6</w:t>
      </w:r>
      <w:r>
        <w:rPr>
          <w:rFonts w:hint="eastAsia"/>
        </w:rPr>
        <w:t>座水库及</w:t>
      </w:r>
      <w:r>
        <w:rPr>
          <w:rFonts w:hint="eastAsia"/>
          <w:lang w:val="en-US"/>
        </w:rPr>
        <w:t>7</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tabs>
          <w:tab w:val="left" w:pos="1134"/>
        </w:tabs>
        <w:spacing w:after="0" w:line="360" w:lineRule="auto"/>
        <w:ind w:left="1321"/>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lang w:val="en-US"/>
        </w:rPr>
        <w:t>圆墩林场、</w:t>
      </w:r>
      <w:r>
        <w:rPr>
          <w:rFonts w:hint="eastAsia"/>
          <w:shd w:val="solid" w:color="FFFFFF" w:fill="auto"/>
          <w:lang w:val="en-US"/>
        </w:rPr>
        <w:t>赤石镇</w:t>
      </w:r>
      <w:r>
        <w:rPr>
          <w:rFonts w:hint="eastAsia"/>
          <w:shd w:val="solid" w:color="FFFFFF" w:fill="auto"/>
        </w:rPr>
        <w:t>内注册登记的</w:t>
      </w:r>
      <w:r>
        <w:rPr>
          <w:rFonts w:hint="eastAsia"/>
          <w:shd w:val="solid" w:color="FFFFFF" w:fill="auto"/>
          <w:lang w:val="en-US"/>
        </w:rPr>
        <w:t>6</w:t>
      </w:r>
      <w:r>
        <w:rPr>
          <w:rFonts w:hint="eastAsia"/>
        </w:rPr>
        <w:t>座水库及</w:t>
      </w:r>
      <w:r>
        <w:rPr>
          <w:rFonts w:hint="eastAsia"/>
          <w:lang w:val="en-US"/>
        </w:rPr>
        <w:t>7</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jc w:val="center"/>
        <w:rPr>
          <w:rFonts w:eastAsia="黑体"/>
          <w:b/>
          <w:bCs/>
          <w:sz w:val="21"/>
          <w:szCs w:val="21"/>
          <w:lang w:eastAsia="zh-CN"/>
        </w:rPr>
      </w:pPr>
      <w:r>
        <w:rPr>
          <w:rFonts w:ascii="仿宋" w:hAnsi="仿宋"/>
          <w:b/>
          <w:bCs/>
          <w:sz w:val="21"/>
          <w:szCs w:val="21"/>
          <w:lang w:eastAsia="zh-CN"/>
        </w:rPr>
        <w:t>深汕合作区小（1）型水库统计表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089"/>
        <w:gridCol w:w="1130"/>
        <w:gridCol w:w="886"/>
        <w:gridCol w:w="1089"/>
        <w:gridCol w:w="1089"/>
        <w:gridCol w:w="868"/>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69" w:hRule="exact"/>
          <w:tblHeader/>
        </w:trPr>
        <w:tc>
          <w:tcPr>
            <w:tcW w:w="1285" w:type="dxa"/>
            <w:vMerge w:val="restart"/>
            <w:vAlign w:val="center"/>
          </w:tcPr>
          <w:p>
            <w:pPr>
              <w:spacing w:line="240" w:lineRule="auto"/>
              <w:jc w:val="center"/>
              <w:rPr>
                <w:sz w:val="21"/>
                <w:szCs w:val="21"/>
              </w:rPr>
            </w:pPr>
            <w:r>
              <w:rPr>
                <w:sz w:val="21"/>
                <w:szCs w:val="21"/>
              </w:rPr>
              <w:t>名   称</w:t>
            </w:r>
          </w:p>
        </w:tc>
        <w:tc>
          <w:tcPr>
            <w:tcW w:w="1089" w:type="dxa"/>
            <w:vMerge w:val="restart"/>
            <w:vAlign w:val="center"/>
          </w:tcPr>
          <w:p>
            <w:pPr>
              <w:spacing w:line="240" w:lineRule="auto"/>
              <w:jc w:val="center"/>
              <w:rPr>
                <w:sz w:val="21"/>
                <w:szCs w:val="21"/>
              </w:rPr>
            </w:pPr>
            <w:r>
              <w:rPr>
                <w:sz w:val="21"/>
                <w:szCs w:val="21"/>
              </w:rPr>
              <w:t>所在地</w:t>
            </w:r>
          </w:p>
        </w:tc>
        <w:tc>
          <w:tcPr>
            <w:tcW w:w="1130" w:type="dxa"/>
            <w:vMerge w:val="restart"/>
            <w:vAlign w:val="center"/>
          </w:tcPr>
          <w:p>
            <w:pPr>
              <w:spacing w:line="240" w:lineRule="auto"/>
              <w:jc w:val="center"/>
              <w:rPr>
                <w:sz w:val="21"/>
                <w:szCs w:val="21"/>
              </w:rPr>
            </w:pPr>
            <w:r>
              <w:rPr>
                <w:sz w:val="21"/>
                <w:szCs w:val="21"/>
              </w:rPr>
              <w:t>集雨面积</w:t>
            </w:r>
          </w:p>
          <w:p>
            <w:pPr>
              <w:spacing w:line="240" w:lineRule="auto"/>
              <w:jc w:val="center"/>
              <w:rPr>
                <w:sz w:val="21"/>
                <w:szCs w:val="21"/>
              </w:rPr>
            </w:pPr>
            <w:r>
              <w:rPr>
                <w:sz w:val="21"/>
                <w:szCs w:val="21"/>
              </w:rPr>
              <w:t>（km</w:t>
            </w:r>
            <w:r>
              <w:rPr>
                <w:sz w:val="21"/>
                <w:szCs w:val="21"/>
                <w:vertAlign w:val="superscript"/>
              </w:rPr>
              <w:t>2</w:t>
            </w:r>
            <w:r>
              <w:rPr>
                <w:sz w:val="21"/>
                <w:szCs w:val="21"/>
              </w:rPr>
              <w:t>）</w:t>
            </w:r>
          </w:p>
        </w:tc>
        <w:tc>
          <w:tcPr>
            <w:tcW w:w="3932" w:type="dxa"/>
            <w:gridSpan w:val="4"/>
            <w:vAlign w:val="center"/>
          </w:tcPr>
          <w:p>
            <w:pPr>
              <w:spacing w:line="240" w:lineRule="auto"/>
              <w:jc w:val="center"/>
              <w:rPr>
                <w:sz w:val="21"/>
                <w:szCs w:val="21"/>
              </w:rPr>
            </w:pPr>
            <w:r>
              <w:rPr>
                <w:sz w:val="21"/>
                <w:szCs w:val="21"/>
              </w:rPr>
              <w:t>库    容（万m³）</w:t>
            </w:r>
          </w:p>
        </w:tc>
        <w:tc>
          <w:tcPr>
            <w:tcW w:w="1086" w:type="dxa"/>
            <w:vMerge w:val="restart"/>
            <w:vAlign w:val="center"/>
          </w:tcPr>
          <w:p>
            <w:pPr>
              <w:spacing w:line="240" w:lineRule="auto"/>
              <w:jc w:val="center"/>
              <w:rPr>
                <w:sz w:val="21"/>
                <w:szCs w:val="21"/>
              </w:rPr>
            </w:pPr>
            <w:r>
              <w:rPr>
                <w:sz w:val="21"/>
                <w:szCs w:val="21"/>
              </w:rPr>
              <w:t>灌溉面积（万亩）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continue"/>
            <w:vAlign w:val="center"/>
          </w:tcPr>
          <w:p>
            <w:pPr>
              <w:spacing w:line="240" w:lineRule="auto"/>
              <w:jc w:val="center"/>
              <w:rPr>
                <w:sz w:val="21"/>
                <w:szCs w:val="21"/>
              </w:rPr>
            </w:pPr>
          </w:p>
        </w:tc>
        <w:tc>
          <w:tcPr>
            <w:tcW w:w="1089" w:type="dxa"/>
            <w:vMerge w:val="continue"/>
            <w:vAlign w:val="center"/>
          </w:tcPr>
          <w:p>
            <w:pPr>
              <w:spacing w:line="240" w:lineRule="auto"/>
              <w:jc w:val="center"/>
              <w:rPr>
                <w:sz w:val="21"/>
                <w:szCs w:val="21"/>
              </w:rPr>
            </w:pPr>
          </w:p>
        </w:tc>
        <w:tc>
          <w:tcPr>
            <w:tcW w:w="1130" w:type="dxa"/>
            <w:vMerge w:val="continue"/>
            <w:vAlign w:val="center"/>
          </w:tcPr>
          <w:p>
            <w:pPr>
              <w:spacing w:line="240" w:lineRule="auto"/>
              <w:jc w:val="center"/>
              <w:rPr>
                <w:sz w:val="21"/>
                <w:szCs w:val="21"/>
              </w:rPr>
            </w:pPr>
          </w:p>
        </w:tc>
        <w:tc>
          <w:tcPr>
            <w:tcW w:w="886" w:type="dxa"/>
            <w:vAlign w:val="center"/>
          </w:tcPr>
          <w:p>
            <w:pPr>
              <w:spacing w:line="240" w:lineRule="auto"/>
              <w:jc w:val="center"/>
              <w:rPr>
                <w:sz w:val="21"/>
                <w:szCs w:val="21"/>
              </w:rPr>
            </w:pPr>
            <w:r>
              <w:rPr>
                <w:sz w:val="21"/>
                <w:szCs w:val="21"/>
              </w:rPr>
              <w:t>总库容</w:t>
            </w:r>
          </w:p>
        </w:tc>
        <w:tc>
          <w:tcPr>
            <w:tcW w:w="1089" w:type="dxa"/>
            <w:vAlign w:val="center"/>
          </w:tcPr>
          <w:p>
            <w:pPr>
              <w:spacing w:line="240" w:lineRule="auto"/>
              <w:jc w:val="center"/>
              <w:rPr>
                <w:sz w:val="21"/>
                <w:szCs w:val="21"/>
              </w:rPr>
            </w:pPr>
            <w:r>
              <w:rPr>
                <w:sz w:val="21"/>
                <w:szCs w:val="21"/>
              </w:rPr>
              <w:t>正常库容</w:t>
            </w:r>
          </w:p>
        </w:tc>
        <w:tc>
          <w:tcPr>
            <w:tcW w:w="1089" w:type="dxa"/>
            <w:vAlign w:val="center"/>
          </w:tcPr>
          <w:p>
            <w:pPr>
              <w:spacing w:line="240" w:lineRule="auto"/>
              <w:jc w:val="center"/>
              <w:rPr>
                <w:sz w:val="21"/>
                <w:szCs w:val="21"/>
              </w:rPr>
            </w:pPr>
            <w:r>
              <w:rPr>
                <w:sz w:val="21"/>
                <w:szCs w:val="21"/>
              </w:rPr>
              <w:t>兴利库容</w:t>
            </w:r>
          </w:p>
        </w:tc>
        <w:tc>
          <w:tcPr>
            <w:tcW w:w="868" w:type="dxa"/>
            <w:vAlign w:val="center"/>
          </w:tcPr>
          <w:p>
            <w:pPr>
              <w:spacing w:line="240" w:lineRule="auto"/>
              <w:jc w:val="center"/>
              <w:rPr>
                <w:sz w:val="21"/>
                <w:szCs w:val="21"/>
              </w:rPr>
            </w:pPr>
            <w:r>
              <w:rPr>
                <w:sz w:val="21"/>
                <w:szCs w:val="21"/>
              </w:rPr>
              <w:t>死库容</w:t>
            </w:r>
          </w:p>
        </w:tc>
        <w:tc>
          <w:tcPr>
            <w:tcW w:w="1086" w:type="dxa"/>
            <w:vMerge w:val="continue"/>
            <w:vAlign w:val="center"/>
          </w:tcPr>
          <w:p>
            <w:pPr>
              <w:spacing w:line="24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1"/>
                <w:szCs w:val="21"/>
              </w:rPr>
            </w:pPr>
            <w:r>
              <w:rPr>
                <w:sz w:val="21"/>
                <w:szCs w:val="21"/>
              </w:rPr>
              <w:t>三角山水库</w:t>
            </w:r>
          </w:p>
        </w:tc>
        <w:tc>
          <w:tcPr>
            <w:tcW w:w="1089" w:type="dxa"/>
            <w:vAlign w:val="center"/>
          </w:tcPr>
          <w:p>
            <w:pPr>
              <w:spacing w:line="240" w:lineRule="auto"/>
              <w:jc w:val="center"/>
              <w:rPr>
                <w:sz w:val="21"/>
                <w:szCs w:val="21"/>
              </w:rPr>
            </w:pPr>
            <w:r>
              <w:rPr>
                <w:sz w:val="21"/>
                <w:szCs w:val="21"/>
              </w:rPr>
              <w:t>圆墩林场</w:t>
            </w:r>
          </w:p>
        </w:tc>
        <w:tc>
          <w:tcPr>
            <w:tcW w:w="1130" w:type="dxa"/>
            <w:vAlign w:val="center"/>
          </w:tcPr>
          <w:p>
            <w:pPr>
              <w:spacing w:line="240" w:lineRule="auto"/>
              <w:jc w:val="center"/>
              <w:rPr>
                <w:sz w:val="21"/>
                <w:szCs w:val="21"/>
              </w:rPr>
            </w:pPr>
            <w:r>
              <w:rPr>
                <w:color w:val="000000"/>
                <w:sz w:val="21"/>
                <w:szCs w:val="21"/>
              </w:rPr>
              <w:t>3.67</w:t>
            </w:r>
          </w:p>
        </w:tc>
        <w:tc>
          <w:tcPr>
            <w:tcW w:w="886" w:type="dxa"/>
            <w:vAlign w:val="center"/>
          </w:tcPr>
          <w:p>
            <w:pPr>
              <w:spacing w:line="240" w:lineRule="auto"/>
              <w:jc w:val="center"/>
              <w:textAlignment w:val="center"/>
              <w:rPr>
                <w:sz w:val="21"/>
                <w:szCs w:val="21"/>
              </w:rPr>
            </w:pPr>
            <w:r>
              <w:rPr>
                <w:color w:val="000000"/>
                <w:sz w:val="21"/>
                <w:szCs w:val="21"/>
              </w:rPr>
              <w:t>252.84</w:t>
            </w:r>
          </w:p>
        </w:tc>
        <w:tc>
          <w:tcPr>
            <w:tcW w:w="1089" w:type="dxa"/>
            <w:vAlign w:val="center"/>
          </w:tcPr>
          <w:p>
            <w:pPr>
              <w:spacing w:line="240" w:lineRule="auto"/>
              <w:jc w:val="center"/>
              <w:textAlignment w:val="center"/>
              <w:rPr>
                <w:sz w:val="21"/>
                <w:szCs w:val="21"/>
              </w:rPr>
            </w:pPr>
            <w:r>
              <w:rPr>
                <w:color w:val="000000"/>
                <w:sz w:val="21"/>
                <w:szCs w:val="21"/>
              </w:rPr>
              <w:t>142.62</w:t>
            </w:r>
          </w:p>
        </w:tc>
        <w:tc>
          <w:tcPr>
            <w:tcW w:w="1089" w:type="dxa"/>
            <w:vAlign w:val="center"/>
          </w:tcPr>
          <w:p>
            <w:pPr>
              <w:spacing w:line="240" w:lineRule="auto"/>
              <w:jc w:val="center"/>
              <w:rPr>
                <w:sz w:val="21"/>
                <w:szCs w:val="21"/>
              </w:rPr>
            </w:pPr>
            <w:r>
              <w:rPr>
                <w:color w:val="000000"/>
                <w:sz w:val="21"/>
                <w:szCs w:val="21"/>
              </w:rPr>
              <w:t>140.86</w:t>
            </w:r>
          </w:p>
        </w:tc>
        <w:tc>
          <w:tcPr>
            <w:tcW w:w="868" w:type="dxa"/>
            <w:vAlign w:val="center"/>
          </w:tcPr>
          <w:p>
            <w:pPr>
              <w:spacing w:line="240" w:lineRule="auto"/>
              <w:jc w:val="center"/>
              <w:rPr>
                <w:sz w:val="21"/>
                <w:szCs w:val="21"/>
              </w:rPr>
            </w:pPr>
            <w:r>
              <w:rPr>
                <w:color w:val="000000"/>
                <w:sz w:val="21"/>
                <w:szCs w:val="21"/>
              </w:rPr>
              <w:t>1.76</w:t>
            </w:r>
          </w:p>
        </w:tc>
        <w:tc>
          <w:tcPr>
            <w:tcW w:w="1086" w:type="dxa"/>
            <w:vAlign w:val="center"/>
          </w:tcPr>
          <w:p>
            <w:pPr>
              <w:spacing w:line="240" w:lineRule="auto"/>
              <w:jc w:val="center"/>
              <w:rPr>
                <w:sz w:val="21"/>
                <w:szCs w:val="21"/>
              </w:rPr>
            </w:pPr>
            <w:r>
              <w:rPr>
                <w:color w:val="000000"/>
                <w:sz w:val="21"/>
                <w:szCs w:val="21"/>
              </w:rPr>
              <w:t>0.30</w:t>
            </w:r>
          </w:p>
        </w:tc>
      </w:tr>
    </w:tbl>
    <w:p>
      <w:pPr>
        <w:jc w:val="center"/>
        <w:rPr>
          <w:rFonts w:ascii="仿宋" w:hAnsi="仿宋"/>
          <w:b/>
          <w:bCs/>
          <w:sz w:val="21"/>
          <w:szCs w:val="21"/>
        </w:rPr>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305"/>
        <w:gridCol w:w="1130"/>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30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水库名称</w:t>
            </w:r>
          </w:p>
        </w:tc>
        <w:tc>
          <w:tcPr>
            <w:tcW w:w="113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集雨面积（km</w:t>
            </w:r>
            <w:r>
              <w:rPr>
                <w:sz w:val="21"/>
                <w:szCs w:val="21"/>
                <w:vertAlign w:val="superscript"/>
              </w:rPr>
              <w:t>2</w:t>
            </w:r>
            <w:r>
              <w:rPr>
                <w:sz w:val="21"/>
                <w:szCs w:val="21"/>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21"/>
                <w:szCs w:val="21"/>
              </w:rPr>
            </w:pPr>
            <w:r>
              <w:rPr>
                <w:sz w:val="21"/>
                <w:szCs w:val="21"/>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21"/>
                <w:szCs w:val="21"/>
              </w:rPr>
            </w:pPr>
            <w:r>
              <w:rPr>
                <w:sz w:val="21"/>
                <w:szCs w:val="21"/>
              </w:rPr>
              <w:t>灌溉面积</w:t>
            </w:r>
          </w:p>
        </w:tc>
      </w:tr>
      <w:tr>
        <w:tblPrEx>
          <w:tblCellMar>
            <w:top w:w="0" w:type="dxa"/>
            <w:left w:w="108" w:type="dxa"/>
            <w:bottom w:w="0" w:type="dxa"/>
            <w:right w:w="108" w:type="dxa"/>
          </w:tblCellMar>
        </w:tblPrEx>
        <w:trPr>
          <w:trHeight w:val="300" w:hRule="atLeast"/>
        </w:trPr>
        <w:tc>
          <w:tcPr>
            <w:tcW w:w="130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13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sz w:val="21"/>
                <w:szCs w:val="21"/>
              </w:rPr>
              <w:t>（万亩）</w:t>
            </w:r>
          </w:p>
        </w:tc>
      </w:tr>
      <w:tr>
        <w:tblPrEx>
          <w:tblCellMar>
            <w:top w:w="0" w:type="dxa"/>
            <w:left w:w="108" w:type="dxa"/>
            <w:bottom w:w="0" w:type="dxa"/>
            <w:right w:w="108" w:type="dxa"/>
          </w:tblCellMar>
        </w:tblPrEx>
        <w:trPr>
          <w:trHeight w:val="300" w:hRule="atLeast"/>
        </w:trPr>
        <w:tc>
          <w:tcPr>
            <w:tcW w:w="1305" w:type="dxa"/>
            <w:tcBorders>
              <w:top w:val="single" w:color="auto" w:sz="4" w:space="0"/>
              <w:left w:val="single" w:color="auto" w:sz="4" w:space="0"/>
              <w:bottom w:val="single" w:color="auto" w:sz="8" w:space="0"/>
              <w:right w:val="single" w:color="auto" w:sz="8" w:space="0"/>
            </w:tcBorders>
            <w:vAlign w:val="center"/>
          </w:tcPr>
          <w:p>
            <w:pPr>
              <w:spacing w:line="240" w:lineRule="auto"/>
              <w:jc w:val="center"/>
              <w:rPr>
                <w:sz w:val="21"/>
                <w:szCs w:val="21"/>
              </w:rPr>
            </w:pPr>
            <w:r>
              <w:rPr>
                <w:sz w:val="21"/>
                <w:szCs w:val="21"/>
              </w:rPr>
              <w:t>响水坑水库</w:t>
            </w:r>
          </w:p>
        </w:tc>
        <w:tc>
          <w:tcPr>
            <w:tcW w:w="1130" w:type="dxa"/>
            <w:tcBorders>
              <w:top w:val="single" w:color="auto" w:sz="4" w:space="0"/>
              <w:left w:val="single" w:color="auto" w:sz="8" w:space="0"/>
              <w:bottom w:val="single" w:color="000000" w:sz="8" w:space="0"/>
              <w:right w:val="single" w:color="auto" w:sz="8" w:space="0"/>
            </w:tcBorders>
            <w:vAlign w:val="center"/>
          </w:tcPr>
          <w:p>
            <w:pPr>
              <w:spacing w:line="240" w:lineRule="auto"/>
              <w:jc w:val="center"/>
              <w:rPr>
                <w:sz w:val="21"/>
                <w:szCs w:val="21"/>
              </w:rPr>
            </w:pPr>
            <w:r>
              <w:rPr>
                <w:sz w:val="21"/>
                <w:szCs w:val="21"/>
              </w:rPr>
              <w:t>圆墩林场</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2.16</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textAlignment w:val="center"/>
              <w:rPr>
                <w:sz w:val="21"/>
                <w:szCs w:val="21"/>
              </w:rPr>
            </w:pPr>
            <w:r>
              <w:rPr>
                <w:color w:val="000000"/>
                <w:sz w:val="21"/>
                <w:szCs w:val="21"/>
              </w:rPr>
              <w:t>14.50</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textAlignment w:val="center"/>
              <w:rPr>
                <w:sz w:val="21"/>
                <w:szCs w:val="21"/>
              </w:rPr>
            </w:pPr>
            <w:r>
              <w:rPr>
                <w:color w:val="000000"/>
                <w:sz w:val="21"/>
                <w:szCs w:val="21"/>
              </w:rPr>
              <w:t>9.38</w:t>
            </w:r>
          </w:p>
        </w:tc>
        <w:tc>
          <w:tcPr>
            <w:tcW w:w="1219" w:type="dxa"/>
            <w:tcBorders>
              <w:top w:val="single" w:color="auto" w:sz="4" w:space="0"/>
              <w:left w:val="nil"/>
              <w:bottom w:val="single" w:color="auto" w:sz="8" w:space="0"/>
              <w:right w:val="single" w:color="auto" w:sz="8" w:space="0"/>
            </w:tcBorders>
            <w:vAlign w:val="center"/>
          </w:tcPr>
          <w:p>
            <w:pPr>
              <w:spacing w:line="240" w:lineRule="auto"/>
              <w:jc w:val="center"/>
              <w:textAlignment w:val="center"/>
              <w:rPr>
                <w:sz w:val="21"/>
                <w:szCs w:val="21"/>
              </w:rPr>
            </w:pPr>
            <w:r>
              <w:rPr>
                <w:color w:val="000000"/>
                <w:sz w:val="21"/>
                <w:szCs w:val="21"/>
              </w:rPr>
              <w:t>5.12</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0.08</w:t>
            </w:r>
          </w:p>
        </w:tc>
      </w:tr>
      <w:tr>
        <w:tblPrEx>
          <w:tblCellMar>
            <w:top w:w="0" w:type="dxa"/>
            <w:left w:w="108" w:type="dxa"/>
            <w:bottom w:w="0" w:type="dxa"/>
            <w:right w:w="108" w:type="dxa"/>
          </w:tblCellMar>
        </w:tblPrEx>
        <w:trPr>
          <w:trHeight w:val="300" w:hRule="atLeast"/>
        </w:trPr>
        <w:tc>
          <w:tcPr>
            <w:tcW w:w="1305" w:type="dxa"/>
            <w:tcBorders>
              <w:top w:val="nil"/>
              <w:left w:val="single" w:color="auto" w:sz="8" w:space="0"/>
              <w:bottom w:val="single" w:color="auto" w:sz="8" w:space="0"/>
              <w:right w:val="single" w:color="auto" w:sz="8" w:space="0"/>
            </w:tcBorders>
            <w:vAlign w:val="center"/>
          </w:tcPr>
          <w:p>
            <w:pPr>
              <w:spacing w:line="240" w:lineRule="auto"/>
              <w:jc w:val="center"/>
              <w:rPr>
                <w:sz w:val="21"/>
                <w:szCs w:val="21"/>
              </w:rPr>
            </w:pPr>
            <w:r>
              <w:rPr>
                <w:sz w:val="21"/>
                <w:szCs w:val="21"/>
              </w:rPr>
              <w:t>洛坑水库</w:t>
            </w:r>
          </w:p>
        </w:tc>
        <w:tc>
          <w:tcPr>
            <w:tcW w:w="1130" w:type="dxa"/>
            <w:vMerge w:val="restart"/>
            <w:tcBorders>
              <w:top w:val="nil"/>
              <w:left w:val="single" w:color="auto" w:sz="8" w:space="0"/>
              <w:right w:val="single" w:color="auto" w:sz="8" w:space="0"/>
            </w:tcBorders>
            <w:vAlign w:val="center"/>
          </w:tcPr>
          <w:p>
            <w:pPr>
              <w:spacing w:line="240" w:lineRule="auto"/>
              <w:jc w:val="center"/>
              <w:rPr>
                <w:sz w:val="21"/>
                <w:szCs w:val="21"/>
              </w:rPr>
            </w:pPr>
            <w:r>
              <w:rPr>
                <w:sz w:val="21"/>
                <w:szCs w:val="21"/>
              </w:rPr>
              <w:t>赤石镇</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2.23</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31.19</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14.47</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16.72</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0.06</w:t>
            </w:r>
          </w:p>
        </w:tc>
      </w:tr>
      <w:tr>
        <w:tblPrEx>
          <w:tblCellMar>
            <w:top w:w="0" w:type="dxa"/>
            <w:left w:w="108" w:type="dxa"/>
            <w:bottom w:w="0" w:type="dxa"/>
            <w:right w:w="108" w:type="dxa"/>
          </w:tblCellMar>
        </w:tblPrEx>
        <w:trPr>
          <w:trHeight w:val="300" w:hRule="atLeast"/>
        </w:trPr>
        <w:tc>
          <w:tcPr>
            <w:tcW w:w="1305" w:type="dxa"/>
            <w:tcBorders>
              <w:top w:val="nil"/>
              <w:left w:val="single" w:color="auto" w:sz="8" w:space="0"/>
              <w:bottom w:val="single" w:color="auto" w:sz="8" w:space="0"/>
              <w:right w:val="single" w:color="auto" w:sz="8" w:space="0"/>
            </w:tcBorders>
            <w:vAlign w:val="center"/>
          </w:tcPr>
          <w:p>
            <w:pPr>
              <w:spacing w:line="240" w:lineRule="auto"/>
              <w:jc w:val="center"/>
              <w:rPr>
                <w:sz w:val="21"/>
                <w:szCs w:val="21"/>
              </w:rPr>
            </w:pPr>
            <w:r>
              <w:rPr>
                <w:sz w:val="21"/>
                <w:szCs w:val="21"/>
              </w:rPr>
              <w:t>沈坑水库</w:t>
            </w:r>
          </w:p>
        </w:tc>
        <w:tc>
          <w:tcPr>
            <w:tcW w:w="1130" w:type="dxa"/>
            <w:vMerge w:val="continue"/>
            <w:tcBorders>
              <w:left w:val="single" w:color="auto" w:sz="8"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2.30</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37.35</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23.92</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13.43</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0.12</w:t>
            </w:r>
          </w:p>
        </w:tc>
      </w:tr>
      <w:tr>
        <w:tblPrEx>
          <w:tblCellMar>
            <w:top w:w="0" w:type="dxa"/>
            <w:left w:w="108" w:type="dxa"/>
            <w:bottom w:w="0" w:type="dxa"/>
            <w:right w:w="108" w:type="dxa"/>
          </w:tblCellMar>
        </w:tblPrEx>
        <w:trPr>
          <w:trHeight w:val="300" w:hRule="atLeast"/>
        </w:trPr>
        <w:tc>
          <w:tcPr>
            <w:tcW w:w="1305" w:type="dxa"/>
            <w:tcBorders>
              <w:top w:val="nil"/>
              <w:left w:val="single" w:color="auto" w:sz="8" w:space="0"/>
              <w:bottom w:val="single" w:color="auto" w:sz="8" w:space="0"/>
              <w:right w:val="single" w:color="auto" w:sz="8" w:space="0"/>
            </w:tcBorders>
            <w:vAlign w:val="center"/>
          </w:tcPr>
          <w:p>
            <w:pPr>
              <w:spacing w:line="240" w:lineRule="auto"/>
              <w:jc w:val="center"/>
              <w:rPr>
                <w:sz w:val="21"/>
                <w:szCs w:val="21"/>
              </w:rPr>
            </w:pPr>
            <w:r>
              <w:rPr>
                <w:sz w:val="21"/>
                <w:szCs w:val="21"/>
              </w:rPr>
              <w:t>里坑水库</w:t>
            </w:r>
          </w:p>
        </w:tc>
        <w:tc>
          <w:tcPr>
            <w:tcW w:w="1130" w:type="dxa"/>
            <w:vMerge w:val="continue"/>
            <w:tcBorders>
              <w:left w:val="single" w:color="auto" w:sz="8"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1.01</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57.64</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41.44</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16.20</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0.10</w:t>
            </w:r>
          </w:p>
        </w:tc>
      </w:tr>
      <w:tr>
        <w:tblPrEx>
          <w:tblCellMar>
            <w:top w:w="0" w:type="dxa"/>
            <w:left w:w="108" w:type="dxa"/>
            <w:bottom w:w="0" w:type="dxa"/>
            <w:right w:w="108" w:type="dxa"/>
          </w:tblCellMar>
        </w:tblPrEx>
        <w:trPr>
          <w:trHeight w:val="300" w:hRule="atLeast"/>
        </w:trPr>
        <w:tc>
          <w:tcPr>
            <w:tcW w:w="1305" w:type="dxa"/>
            <w:tcBorders>
              <w:top w:val="nil"/>
              <w:left w:val="single" w:color="auto" w:sz="8" w:space="0"/>
              <w:bottom w:val="single" w:color="auto" w:sz="8" w:space="0"/>
              <w:right w:val="single" w:color="auto" w:sz="8" w:space="0"/>
            </w:tcBorders>
            <w:vAlign w:val="center"/>
          </w:tcPr>
          <w:p>
            <w:pPr>
              <w:spacing w:line="240" w:lineRule="auto"/>
              <w:jc w:val="center"/>
              <w:rPr>
                <w:sz w:val="21"/>
                <w:szCs w:val="21"/>
              </w:rPr>
            </w:pPr>
            <w:r>
              <w:rPr>
                <w:sz w:val="21"/>
                <w:szCs w:val="21"/>
              </w:rPr>
              <w:t>深冲水库</w:t>
            </w:r>
          </w:p>
        </w:tc>
        <w:tc>
          <w:tcPr>
            <w:tcW w:w="1130" w:type="dxa"/>
            <w:vMerge w:val="continue"/>
            <w:tcBorders>
              <w:left w:val="single" w:color="auto" w:sz="8" w:space="0"/>
              <w:bottom w:val="single" w:color="auto" w:sz="4"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2.23</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15.30</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5.80</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9.50</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r>
              <w:rPr>
                <w:color w:val="000000"/>
                <w:sz w:val="21"/>
                <w:szCs w:val="21"/>
              </w:rPr>
              <w:t>0.02</w:t>
            </w:r>
          </w:p>
        </w:tc>
      </w:tr>
      <w:tr>
        <w:tblPrEx>
          <w:tblCellMar>
            <w:top w:w="0" w:type="dxa"/>
            <w:left w:w="108" w:type="dxa"/>
            <w:bottom w:w="0" w:type="dxa"/>
            <w:right w:w="108" w:type="dxa"/>
          </w:tblCellMar>
        </w:tblPrEx>
        <w:trPr>
          <w:trHeight w:val="300" w:hRule="atLeast"/>
        </w:trPr>
        <w:tc>
          <w:tcPr>
            <w:tcW w:w="2435" w:type="dxa"/>
            <w:gridSpan w:val="2"/>
            <w:tcBorders>
              <w:top w:val="single" w:color="auto" w:sz="8" w:space="0"/>
              <w:left w:val="single" w:color="auto" w:sz="8" w:space="0"/>
              <w:bottom w:val="single" w:color="auto" w:sz="8" w:space="0"/>
              <w:right w:val="single" w:color="000000" w:sz="8" w:space="0"/>
            </w:tcBorders>
            <w:vAlign w:val="center"/>
          </w:tcPr>
          <w:p>
            <w:pPr>
              <w:spacing w:line="240" w:lineRule="auto"/>
              <w:jc w:val="center"/>
              <w:rPr>
                <w:sz w:val="21"/>
                <w:szCs w:val="21"/>
              </w:rPr>
            </w:pPr>
            <w:r>
              <w:rPr>
                <w:sz w:val="21"/>
                <w:szCs w:val="21"/>
              </w:rPr>
              <w:t>合    计</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rPr>
            </w:pP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lang w:eastAsia="zh-CN"/>
              </w:rPr>
            </w:pPr>
            <w:r>
              <w:rPr>
                <w:rFonts w:hint="eastAsia"/>
                <w:color w:val="000000"/>
                <w:sz w:val="21"/>
                <w:szCs w:val="21"/>
                <w:lang w:eastAsia="zh-CN"/>
              </w:rPr>
              <w:t>155.98</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lang w:eastAsia="zh-CN"/>
              </w:rPr>
            </w:pPr>
            <w:r>
              <w:rPr>
                <w:rFonts w:hint="eastAsia"/>
                <w:color w:val="000000"/>
                <w:sz w:val="21"/>
                <w:szCs w:val="21"/>
                <w:lang w:eastAsia="zh-CN"/>
              </w:rPr>
              <w:t>95.01</w:t>
            </w:r>
          </w:p>
        </w:tc>
        <w:tc>
          <w:tcPr>
            <w:tcW w:w="1219" w:type="dxa"/>
            <w:tcBorders>
              <w:top w:val="nil"/>
              <w:left w:val="nil"/>
              <w:bottom w:val="single" w:color="auto" w:sz="8" w:space="0"/>
              <w:right w:val="single" w:color="auto" w:sz="8" w:space="0"/>
            </w:tcBorders>
            <w:vAlign w:val="center"/>
          </w:tcPr>
          <w:p>
            <w:pPr>
              <w:spacing w:line="240" w:lineRule="auto"/>
              <w:jc w:val="center"/>
              <w:rPr>
                <w:sz w:val="21"/>
                <w:szCs w:val="21"/>
                <w:lang w:eastAsia="zh-CN"/>
              </w:rPr>
            </w:pPr>
            <w:r>
              <w:rPr>
                <w:rFonts w:hint="eastAsia"/>
                <w:color w:val="000000"/>
                <w:sz w:val="21"/>
                <w:szCs w:val="21"/>
                <w:lang w:eastAsia="zh-CN"/>
              </w:rPr>
              <w:t>60.9</w:t>
            </w:r>
          </w:p>
        </w:tc>
        <w:tc>
          <w:tcPr>
            <w:tcW w:w="1217" w:type="dxa"/>
            <w:tcBorders>
              <w:top w:val="nil"/>
              <w:left w:val="nil"/>
              <w:bottom w:val="single" w:color="auto" w:sz="8" w:space="0"/>
              <w:right w:val="single" w:color="auto" w:sz="8" w:space="0"/>
            </w:tcBorders>
            <w:vAlign w:val="center"/>
          </w:tcPr>
          <w:p>
            <w:pPr>
              <w:spacing w:line="240" w:lineRule="auto"/>
              <w:jc w:val="center"/>
              <w:rPr>
                <w:sz w:val="21"/>
                <w:szCs w:val="21"/>
                <w:lang w:eastAsia="zh-CN"/>
              </w:rPr>
            </w:pPr>
            <w:r>
              <w:rPr>
                <w:rFonts w:hint="eastAsia"/>
                <w:sz w:val="21"/>
                <w:szCs w:val="21"/>
                <w:lang w:eastAsia="zh-CN"/>
              </w:rPr>
              <w:t>0.38</w:t>
            </w:r>
          </w:p>
        </w:tc>
      </w:tr>
    </w:tbl>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市管1条河道名录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28.18</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466.79</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305.18</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赤石河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12.68</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p>
        </w:tc>
      </w:tr>
    </w:tbl>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区管49条河道名录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杨桃溪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4.45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18.03</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20.62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里坑泄洪渠</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2.24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5.29</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沈坑泄洪渠</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3.18</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6.03</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大湾溪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5.13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19.30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25.21</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吉水门溪</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5.05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10.21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36.44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响水坑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1.84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5.20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8.48</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18.87</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58.16</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102.07</w:t>
            </w:r>
          </w:p>
        </w:tc>
      </w:tr>
    </w:tbl>
    <w:p>
      <w:pPr>
        <w:jc w:val="center"/>
        <w:rPr>
          <w:rFonts w:ascii="仿宋" w:hAnsi="仿宋"/>
          <w:b/>
          <w:bCs/>
          <w:sz w:val="21"/>
          <w:szCs w:val="21"/>
        </w:rPr>
      </w:pPr>
    </w:p>
    <w:p>
      <w:pPr>
        <w:pStyle w:val="2"/>
        <w:spacing w:after="0" w:line="360" w:lineRule="auto"/>
        <w:ind w:left="0" w:firstLine="460" w:firstLineChars="200"/>
        <w:jc w:val="both"/>
        <w:rPr>
          <w:rFonts w:hint="eastAsia"/>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/小（2）型水库6</w:t>
      </w:r>
      <w:r>
        <w:rPr>
          <w:rFonts w:hint="eastAsia"/>
          <w:shd w:val="solid" w:color="FFFFFF" w:fill="auto"/>
        </w:rPr>
        <w:t>座（</w:t>
      </w:r>
      <w:r>
        <w:rPr>
          <w:rFonts w:hint="eastAsia"/>
          <w:shd w:val="solid" w:color="FFFFFF" w:fill="auto"/>
          <w:lang w:val="en-US"/>
        </w:rPr>
        <w:t>洛坑水库、里坑水库、沈坑水库、三角山水库、响水坑水库、深冲水库</w:t>
      </w:r>
      <w:r>
        <w:rPr>
          <w:rFonts w:hint="eastAsia"/>
          <w:shd w:val="solid" w:color="FFFFFF" w:fill="auto"/>
        </w:rPr>
        <w:t>）及</w:t>
      </w:r>
      <w:r>
        <w:rPr>
          <w:rFonts w:hint="eastAsia"/>
          <w:shd w:val="solid" w:color="FFFFFF" w:fill="auto"/>
          <w:lang w:val="en-US"/>
        </w:rPr>
        <w:t>7</w:t>
      </w:r>
      <w:r>
        <w:rPr>
          <w:rFonts w:hint="eastAsia"/>
          <w:shd w:val="solid" w:color="FFFFFF" w:fill="auto"/>
        </w:rPr>
        <w:t>条河道（</w:t>
      </w:r>
      <w:r>
        <w:rPr>
          <w:rFonts w:hint="eastAsia"/>
          <w:shd w:val="solid" w:color="FFFFFF" w:fill="auto"/>
          <w:lang w:val="en-US"/>
        </w:rPr>
        <w:t>赤石河下游（赤石河河道</w:t>
      </w:r>
      <w:r>
        <w:rPr>
          <w:shd w:val="solid" w:color="FFFFFF" w:fill="auto"/>
          <w:lang w:val="en-US"/>
        </w:rPr>
        <w:t>-</w:t>
      </w:r>
      <w:r>
        <w:rPr>
          <w:rFonts w:hint="eastAsia"/>
          <w:shd w:val="solid" w:color="FFFFFF" w:fill="auto"/>
          <w:lang w:val="en-US"/>
        </w:rPr>
        <w:t>明热河汇入口以下至入海口）、杨桃溪、吉水门溪、大湾溪、沈坑泄洪渠、里坑泄洪渠、响水坑河）共计31.55</w:t>
      </w:r>
      <w:r>
        <w:rPr>
          <w:shd w:val="solid" w:color="FFFFFF" w:fill="auto"/>
          <w:lang w:val="en-US"/>
        </w:rPr>
        <w:t>k</w:t>
      </w:r>
      <w:r>
        <w:rPr>
          <w:rFonts w:hint="eastAsia"/>
        </w:rPr>
        <w:t>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6座</w:t>
      </w:r>
      <w:r>
        <w:rPr>
          <w:rFonts w:hint="eastAsia"/>
        </w:rPr>
        <w:t>水库与</w:t>
      </w:r>
      <w:r>
        <w:rPr>
          <w:rFonts w:hint="eastAsia"/>
          <w:lang w:val="en-US"/>
        </w:rPr>
        <w:t>7条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6座</w:t>
      </w:r>
      <w:r>
        <w:rPr>
          <w:rFonts w:hint="eastAsia"/>
        </w:rPr>
        <w:t>水库与</w:t>
      </w:r>
      <w:r>
        <w:rPr>
          <w:rFonts w:hint="eastAsia"/>
          <w:lang w:val="en-US"/>
        </w:rPr>
        <w:t>7条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6座</w:t>
      </w:r>
      <w:r>
        <w:rPr>
          <w:rFonts w:hint="eastAsia"/>
        </w:rPr>
        <w:t>水库与</w:t>
      </w:r>
      <w:r>
        <w:rPr>
          <w:rFonts w:hint="eastAsia"/>
          <w:lang w:val="en-US"/>
        </w:rPr>
        <w:t>7条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6座水库的大坝、溢洪道、输水涵管、防汛道路等工程设施和闸门、启闭机、机电设备等设备设施（含金属设备）运行养护、损毁修复；7条河道陂头、水闸等设备设施（含金属设备）养护、损毁修复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本项目合同期为自合同签订之日起至20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六</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716" w:type="dxa"/>
        <w:jc w:val="center"/>
        <w:tblLayout w:type="autofit"/>
        <w:tblCellMar>
          <w:top w:w="0" w:type="dxa"/>
          <w:left w:w="108" w:type="dxa"/>
          <w:bottom w:w="0" w:type="dxa"/>
          <w:right w:w="108" w:type="dxa"/>
        </w:tblCellMar>
      </w:tblPr>
      <w:tblGrid>
        <w:gridCol w:w="2160"/>
        <w:gridCol w:w="1480"/>
        <w:gridCol w:w="2136"/>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2136"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六标段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洛坑水库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里坑水库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沈坑水库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三角山水库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响水坑水库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深冲水库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616" w:type="dxa"/>
            <w:gridSpan w:val="2"/>
            <w:tcBorders>
              <w:top w:val="single" w:color="auto" w:sz="4" w:space="0"/>
              <w:left w:val="nil"/>
              <w:bottom w:val="single" w:color="auto" w:sz="4" w:space="0"/>
              <w:right w:val="single" w:color="auto" w:sz="4" w:space="0"/>
            </w:tcBorders>
            <w:noWrap/>
            <w:vAlign w:val="center"/>
          </w:tcPr>
          <w:p>
            <w:pPr>
              <w:spacing w:after="0"/>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赤石河下游（赤石河河道-明热河汇入口以下至入海口）</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杨桃溪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吉水门溪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大湾溪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沈坑泄洪渠</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里坑泄洪渠</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2136"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响水坑河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616"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616"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highlight w:val="yellow"/>
          <w:u w:val="none"/>
          <w:lang w:eastAsia="zh-CN"/>
        </w:rPr>
        <w:t>（</w:t>
      </w:r>
      <w:r>
        <w:rPr>
          <w:rFonts w:hint="eastAsia"/>
          <w:highlight w:val="yellow"/>
          <w:u w:val="none"/>
          <w:lang w:val="en-US" w:eastAsia="zh-CN"/>
        </w:rPr>
        <w:t>1</w:t>
      </w:r>
      <w:r>
        <w:rPr>
          <w:rFonts w:hint="eastAsia"/>
          <w:highlight w:val="yellow"/>
          <w:u w:val="none"/>
          <w:lang w:eastAsia="zh-CN"/>
        </w:rPr>
        <w:t>）</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ascii="宋体" w:hAnsi="宋体"/>
          <w:sz w:val="24"/>
          <w:szCs w:val="24"/>
          <w:highlight w:val="yellow"/>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）巡查人员：按相关要求配备，不少于30名；</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hint="eastAsia"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bookmarkStart w:id="12" w:name="_GoBack"/>
      <w:bookmarkEnd w:id="12"/>
      <w:r>
        <w:rPr>
          <w:rFonts w:hint="eastAsia" w:ascii="宋体" w:hAnsi="宋体"/>
          <w:sz w:val="24"/>
          <w:szCs w:val="24"/>
          <w:lang w:eastAsia="zh-CN"/>
        </w:rPr>
        <w:t>（7）其他人员：绿化、保洁、设施维护队伍，人数不少于15人，按需增配，保证现场工作满足技术要求。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、摩托车若干、无人机不少于1台；</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（2）绿化/保洁：割草机不少于16台、割灌机不少于16台、5台汽油发电机组、5台小型发电照明装置、30台多功能工作灯、汽油机水泵不少于5台、抽水泵不少于7台、机动链条锯不少于14台、电焊机不少于3台等；</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18"/>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项目（2022至2023年度）（六标段）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3"/>
        <w:spacing w:line="240" w:lineRule="auto"/>
        <w:rPr>
          <w:b w:val="0"/>
          <w:sz w:val="22"/>
          <w:lang w:eastAsia="zh-CN"/>
        </w:rPr>
      </w:pPr>
    </w:p>
    <w:p>
      <w:pPr>
        <w:rPr>
          <w:lang w:eastAsia="zh-CN"/>
        </w:rPr>
      </w:pPr>
    </w:p>
    <w:p>
      <w:pPr>
        <w:pStyle w:val="3"/>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4"/>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4"/>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3"/>
        <w:spacing w:line="240" w:lineRule="auto"/>
        <w:rPr>
          <w:color w:val="auto"/>
          <w:lang w:eastAsia="zh-CN"/>
        </w:rPr>
      </w:pPr>
      <w:bookmarkStart w:id="6" w:name="_Toc49346105"/>
      <w:r>
        <w:rPr>
          <w:rFonts w:hint="eastAsia"/>
          <w:color w:val="auto"/>
          <w:lang w:eastAsia="zh-CN"/>
        </w:rPr>
        <w:t>2.运维单位考核办法</w:t>
      </w:r>
      <w:bookmarkEnd w:id="6"/>
    </w:p>
    <w:p>
      <w:pPr>
        <w:pStyle w:val="4"/>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3"/>
        <w:spacing w:line="240" w:lineRule="auto"/>
        <w:rPr>
          <w:color w:val="auto"/>
          <w:lang w:eastAsia="zh-CN"/>
        </w:rPr>
      </w:pPr>
      <w:bookmarkStart w:id="9" w:name="_Toc49346108"/>
      <w:r>
        <w:rPr>
          <w:rFonts w:hint="eastAsia"/>
          <w:color w:val="auto"/>
          <w:lang w:eastAsia="zh-CN"/>
        </w:rPr>
        <w:t>3.运维单位奖惩办法</w:t>
      </w:r>
      <w:bookmarkEnd w:id="9"/>
    </w:p>
    <w:p>
      <w:pPr>
        <w:pStyle w:val="4"/>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4"/>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4C3"/>
    <w:rsid w:val="0025452F"/>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A6FDD"/>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471D4"/>
    <w:rsid w:val="00450E19"/>
    <w:rsid w:val="004511E3"/>
    <w:rsid w:val="004556EA"/>
    <w:rsid w:val="0045653B"/>
    <w:rsid w:val="004609A0"/>
    <w:rsid w:val="0047022A"/>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3610"/>
    <w:rsid w:val="00624630"/>
    <w:rsid w:val="00624A85"/>
    <w:rsid w:val="00655AF2"/>
    <w:rsid w:val="00656F86"/>
    <w:rsid w:val="0066193A"/>
    <w:rsid w:val="00674A39"/>
    <w:rsid w:val="00680473"/>
    <w:rsid w:val="006835E6"/>
    <w:rsid w:val="00683659"/>
    <w:rsid w:val="00696BBA"/>
    <w:rsid w:val="0069769C"/>
    <w:rsid w:val="006A7069"/>
    <w:rsid w:val="006C22A1"/>
    <w:rsid w:val="006C5698"/>
    <w:rsid w:val="006D1BB3"/>
    <w:rsid w:val="006D4DD6"/>
    <w:rsid w:val="006E0080"/>
    <w:rsid w:val="006E3BD2"/>
    <w:rsid w:val="006E5021"/>
    <w:rsid w:val="006E7439"/>
    <w:rsid w:val="00711C17"/>
    <w:rsid w:val="00714F59"/>
    <w:rsid w:val="00730366"/>
    <w:rsid w:val="00730789"/>
    <w:rsid w:val="00732B86"/>
    <w:rsid w:val="007347A0"/>
    <w:rsid w:val="00746797"/>
    <w:rsid w:val="00753241"/>
    <w:rsid w:val="007760E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953CB"/>
    <w:rsid w:val="00AA060E"/>
    <w:rsid w:val="00AA1A95"/>
    <w:rsid w:val="00AB688D"/>
    <w:rsid w:val="00AC20EB"/>
    <w:rsid w:val="00AC3E2D"/>
    <w:rsid w:val="00AC69F7"/>
    <w:rsid w:val="00AD3659"/>
    <w:rsid w:val="00AF0025"/>
    <w:rsid w:val="00AF1953"/>
    <w:rsid w:val="00B116B0"/>
    <w:rsid w:val="00B1283E"/>
    <w:rsid w:val="00B1379A"/>
    <w:rsid w:val="00B24C63"/>
    <w:rsid w:val="00B257FD"/>
    <w:rsid w:val="00B371AF"/>
    <w:rsid w:val="00B53558"/>
    <w:rsid w:val="00B66DCD"/>
    <w:rsid w:val="00B80EF5"/>
    <w:rsid w:val="00B829C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4947"/>
    <w:rsid w:val="00C216D2"/>
    <w:rsid w:val="00C32C88"/>
    <w:rsid w:val="00C3476A"/>
    <w:rsid w:val="00C40E58"/>
    <w:rsid w:val="00C4481D"/>
    <w:rsid w:val="00C4638B"/>
    <w:rsid w:val="00C4732C"/>
    <w:rsid w:val="00C53564"/>
    <w:rsid w:val="00C56373"/>
    <w:rsid w:val="00C563DD"/>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18B7BF6"/>
    <w:rsid w:val="02AB2697"/>
    <w:rsid w:val="030C2AC0"/>
    <w:rsid w:val="036C7DFA"/>
    <w:rsid w:val="03F011D9"/>
    <w:rsid w:val="04B96704"/>
    <w:rsid w:val="0509609A"/>
    <w:rsid w:val="07327FB1"/>
    <w:rsid w:val="073565CF"/>
    <w:rsid w:val="07F155DC"/>
    <w:rsid w:val="095C04CE"/>
    <w:rsid w:val="09953D16"/>
    <w:rsid w:val="099D02A9"/>
    <w:rsid w:val="0A1D3F0B"/>
    <w:rsid w:val="0AC630BC"/>
    <w:rsid w:val="0BB201D9"/>
    <w:rsid w:val="0CA1429F"/>
    <w:rsid w:val="0D093C57"/>
    <w:rsid w:val="0D48069D"/>
    <w:rsid w:val="0ED84D2A"/>
    <w:rsid w:val="0FDB2348"/>
    <w:rsid w:val="10E92ACE"/>
    <w:rsid w:val="11072ADA"/>
    <w:rsid w:val="110B3BE6"/>
    <w:rsid w:val="12924A0C"/>
    <w:rsid w:val="136B3963"/>
    <w:rsid w:val="13A12A3A"/>
    <w:rsid w:val="14F2158A"/>
    <w:rsid w:val="15EA786F"/>
    <w:rsid w:val="16B253F9"/>
    <w:rsid w:val="183F3B4A"/>
    <w:rsid w:val="1CAF2800"/>
    <w:rsid w:val="1D501DCC"/>
    <w:rsid w:val="1E706B73"/>
    <w:rsid w:val="1F045F3B"/>
    <w:rsid w:val="1F07720A"/>
    <w:rsid w:val="206B7FE6"/>
    <w:rsid w:val="208A250F"/>
    <w:rsid w:val="21385627"/>
    <w:rsid w:val="224D0103"/>
    <w:rsid w:val="22BF03BD"/>
    <w:rsid w:val="230B7DC8"/>
    <w:rsid w:val="24365E59"/>
    <w:rsid w:val="24973F19"/>
    <w:rsid w:val="259844B6"/>
    <w:rsid w:val="25D55C8E"/>
    <w:rsid w:val="26AA090E"/>
    <w:rsid w:val="27CE7CB4"/>
    <w:rsid w:val="27DA1804"/>
    <w:rsid w:val="287B4B19"/>
    <w:rsid w:val="29ED0A2E"/>
    <w:rsid w:val="29EF1AFA"/>
    <w:rsid w:val="2A6F452A"/>
    <w:rsid w:val="2B5224D6"/>
    <w:rsid w:val="2B97126D"/>
    <w:rsid w:val="2D085D2B"/>
    <w:rsid w:val="2DDD47A0"/>
    <w:rsid w:val="2F5205D5"/>
    <w:rsid w:val="301845E5"/>
    <w:rsid w:val="30A70C21"/>
    <w:rsid w:val="30BA4E1D"/>
    <w:rsid w:val="30C84687"/>
    <w:rsid w:val="31332339"/>
    <w:rsid w:val="3261245E"/>
    <w:rsid w:val="344D535E"/>
    <w:rsid w:val="3517673A"/>
    <w:rsid w:val="36591ABC"/>
    <w:rsid w:val="36D17E90"/>
    <w:rsid w:val="36E36736"/>
    <w:rsid w:val="36F402F1"/>
    <w:rsid w:val="375B2356"/>
    <w:rsid w:val="378844AC"/>
    <w:rsid w:val="379D2DBB"/>
    <w:rsid w:val="37EF47C6"/>
    <w:rsid w:val="384F6495"/>
    <w:rsid w:val="389B56ED"/>
    <w:rsid w:val="38C9657F"/>
    <w:rsid w:val="39274625"/>
    <w:rsid w:val="3B945499"/>
    <w:rsid w:val="3D2F423E"/>
    <w:rsid w:val="3E216314"/>
    <w:rsid w:val="3E852B09"/>
    <w:rsid w:val="3E94424B"/>
    <w:rsid w:val="3EF92580"/>
    <w:rsid w:val="3F2B4006"/>
    <w:rsid w:val="40313BC9"/>
    <w:rsid w:val="407F311E"/>
    <w:rsid w:val="41533E51"/>
    <w:rsid w:val="41FF76D6"/>
    <w:rsid w:val="42604E84"/>
    <w:rsid w:val="430C1E42"/>
    <w:rsid w:val="432D6550"/>
    <w:rsid w:val="43BB58E5"/>
    <w:rsid w:val="4456197D"/>
    <w:rsid w:val="45F473B3"/>
    <w:rsid w:val="464949DA"/>
    <w:rsid w:val="46B226AF"/>
    <w:rsid w:val="46FD5C41"/>
    <w:rsid w:val="471C4752"/>
    <w:rsid w:val="472215CC"/>
    <w:rsid w:val="47DF5279"/>
    <w:rsid w:val="48CD287B"/>
    <w:rsid w:val="49311532"/>
    <w:rsid w:val="4A980280"/>
    <w:rsid w:val="4BE05D62"/>
    <w:rsid w:val="4CB25B24"/>
    <w:rsid w:val="4D200FC9"/>
    <w:rsid w:val="4D202E40"/>
    <w:rsid w:val="4D9177D7"/>
    <w:rsid w:val="4E03550A"/>
    <w:rsid w:val="4E0D5076"/>
    <w:rsid w:val="4E757913"/>
    <w:rsid w:val="4FF55710"/>
    <w:rsid w:val="4FF7631A"/>
    <w:rsid w:val="50487183"/>
    <w:rsid w:val="505612AC"/>
    <w:rsid w:val="50C4240E"/>
    <w:rsid w:val="51514632"/>
    <w:rsid w:val="518D54F8"/>
    <w:rsid w:val="524528C8"/>
    <w:rsid w:val="5359317A"/>
    <w:rsid w:val="55155C36"/>
    <w:rsid w:val="554E47A5"/>
    <w:rsid w:val="55AC6D33"/>
    <w:rsid w:val="57E26D0A"/>
    <w:rsid w:val="58527D3E"/>
    <w:rsid w:val="5866094B"/>
    <w:rsid w:val="59E66B71"/>
    <w:rsid w:val="5C3C2736"/>
    <w:rsid w:val="5C520005"/>
    <w:rsid w:val="5D017965"/>
    <w:rsid w:val="5E872F3E"/>
    <w:rsid w:val="5FA32663"/>
    <w:rsid w:val="5FC14BB7"/>
    <w:rsid w:val="5FF362C7"/>
    <w:rsid w:val="607A4D66"/>
    <w:rsid w:val="60C37E2F"/>
    <w:rsid w:val="61941A44"/>
    <w:rsid w:val="61C23070"/>
    <w:rsid w:val="61CD26AF"/>
    <w:rsid w:val="63A21173"/>
    <w:rsid w:val="63E42D85"/>
    <w:rsid w:val="64C13026"/>
    <w:rsid w:val="64E76264"/>
    <w:rsid w:val="65657ADF"/>
    <w:rsid w:val="65F84618"/>
    <w:rsid w:val="66437B9F"/>
    <w:rsid w:val="67334704"/>
    <w:rsid w:val="67A75993"/>
    <w:rsid w:val="68D53315"/>
    <w:rsid w:val="6AEA25B9"/>
    <w:rsid w:val="6B9B1048"/>
    <w:rsid w:val="6C080DC2"/>
    <w:rsid w:val="6CEE1648"/>
    <w:rsid w:val="6F3379E6"/>
    <w:rsid w:val="6F597CAF"/>
    <w:rsid w:val="6FE179AE"/>
    <w:rsid w:val="71BC52D4"/>
    <w:rsid w:val="735A34D3"/>
    <w:rsid w:val="738379DB"/>
    <w:rsid w:val="73B1397B"/>
    <w:rsid w:val="741A3336"/>
    <w:rsid w:val="754A3219"/>
    <w:rsid w:val="76DF4909"/>
    <w:rsid w:val="76F54618"/>
    <w:rsid w:val="77662ECA"/>
    <w:rsid w:val="779745CD"/>
    <w:rsid w:val="780247CB"/>
    <w:rsid w:val="780D4CBD"/>
    <w:rsid w:val="78574142"/>
    <w:rsid w:val="796A4EF4"/>
    <w:rsid w:val="7C184FB7"/>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3">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4">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5">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6">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7">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8">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9">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0">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1">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238"/>
    </w:pPr>
    <w:rPr>
      <w:rFonts w:ascii="宋体" w:hAnsi="宋体" w:cs="宋体"/>
      <w:sz w:val="24"/>
      <w:szCs w:val="24"/>
      <w:lang w:val="zh-CN" w:eastAsia="zh-CN" w:bidi="zh-CN"/>
    </w:rPr>
  </w:style>
  <w:style w:type="paragraph" w:styleId="12">
    <w:name w:val="caption"/>
    <w:basedOn w:val="1"/>
    <w:next w:val="1"/>
    <w:qFormat/>
    <w:uiPriority w:val="35"/>
    <w:pPr>
      <w:spacing w:line="240" w:lineRule="auto"/>
    </w:pPr>
    <w:rPr>
      <w:b/>
      <w:bCs/>
      <w:color w:val="4F81BD"/>
      <w:sz w:val="18"/>
      <w:szCs w:val="18"/>
    </w:rPr>
  </w:style>
  <w:style w:type="paragraph" w:styleId="13">
    <w:name w:val="annotation text"/>
    <w:basedOn w:val="1"/>
    <w:link w:val="35"/>
    <w:unhideWhenUsed/>
    <w:qFormat/>
    <w:uiPriority w:val="99"/>
  </w:style>
  <w:style w:type="paragraph" w:styleId="14">
    <w:name w:val="Balloon Text"/>
    <w:basedOn w:val="1"/>
    <w:link w:val="36"/>
    <w:unhideWhenUsed/>
    <w:qFormat/>
    <w:uiPriority w:val="99"/>
    <w:pPr>
      <w:spacing w:after="0" w:line="240" w:lineRule="auto"/>
    </w:pPr>
    <w:rPr>
      <w:sz w:val="18"/>
      <w:szCs w:val="18"/>
    </w:rPr>
  </w:style>
  <w:style w:type="paragraph" w:styleId="15">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7">
    <w:name w:val="Subtitle"/>
    <w:basedOn w:val="1"/>
    <w:next w:val="1"/>
    <w:link w:val="39"/>
    <w:qFormat/>
    <w:uiPriority w:val="11"/>
    <w:rPr>
      <w:rFonts w:ascii="Cambria" w:hAnsi="Cambria"/>
      <w:i/>
      <w:iCs/>
      <w:color w:val="4F81BD"/>
      <w:spacing w:val="15"/>
      <w:sz w:val="24"/>
      <w:szCs w:val="24"/>
    </w:rPr>
  </w:style>
  <w:style w:type="paragraph" w:styleId="18">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9">
    <w:name w:val="annotation subject"/>
    <w:basedOn w:val="13"/>
    <w:next w:val="13"/>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18"/>
    <w:qFormat/>
    <w:uiPriority w:val="10"/>
    <w:rPr>
      <w:rFonts w:ascii="Cambria" w:hAnsi="Cambria" w:eastAsia="宋体" w:cs="Times New Roman"/>
      <w:color w:val="17365D"/>
      <w:spacing w:val="5"/>
      <w:kern w:val="28"/>
      <w:sz w:val="52"/>
      <w:szCs w:val="52"/>
    </w:rPr>
  </w:style>
  <w:style w:type="character" w:customStyle="1" w:styleId="26">
    <w:name w:val="标题 1 字符"/>
    <w:link w:val="3"/>
    <w:qFormat/>
    <w:uiPriority w:val="9"/>
    <w:rPr>
      <w:rFonts w:ascii="Cambria" w:hAnsi="Cambria" w:eastAsia="宋体" w:cs="Times New Roman"/>
      <w:b/>
      <w:bCs/>
      <w:color w:val="365F91"/>
      <w:sz w:val="28"/>
      <w:szCs w:val="28"/>
    </w:rPr>
  </w:style>
  <w:style w:type="character" w:customStyle="1" w:styleId="27">
    <w:name w:val="标题 2 字符"/>
    <w:link w:val="4"/>
    <w:qFormat/>
    <w:uiPriority w:val="9"/>
    <w:rPr>
      <w:rFonts w:ascii="Cambria" w:hAnsi="Cambria" w:eastAsia="宋体" w:cs="Times New Roman"/>
      <w:b/>
      <w:bCs/>
      <w:color w:val="4F81BD"/>
      <w:sz w:val="26"/>
      <w:szCs w:val="26"/>
    </w:rPr>
  </w:style>
  <w:style w:type="character" w:customStyle="1" w:styleId="28">
    <w:name w:val="标题 3 字符"/>
    <w:link w:val="5"/>
    <w:qFormat/>
    <w:uiPriority w:val="9"/>
    <w:rPr>
      <w:rFonts w:ascii="Cambria" w:hAnsi="Cambria" w:eastAsia="宋体" w:cs="Times New Roman"/>
      <w:b/>
      <w:bCs/>
      <w:color w:val="4F81BD"/>
    </w:rPr>
  </w:style>
  <w:style w:type="character" w:customStyle="1" w:styleId="29">
    <w:name w:val="标题 4 字符"/>
    <w:link w:val="6"/>
    <w:semiHidden/>
    <w:qFormat/>
    <w:uiPriority w:val="9"/>
    <w:rPr>
      <w:rFonts w:ascii="Cambria" w:hAnsi="Cambria" w:eastAsia="宋体" w:cs="Times New Roman"/>
      <w:b/>
      <w:bCs/>
      <w:i/>
      <w:iCs/>
      <w:color w:val="4F81BD"/>
    </w:rPr>
  </w:style>
  <w:style w:type="character" w:customStyle="1" w:styleId="30">
    <w:name w:val="标题 5 字符"/>
    <w:link w:val="7"/>
    <w:semiHidden/>
    <w:qFormat/>
    <w:uiPriority w:val="9"/>
    <w:rPr>
      <w:rFonts w:ascii="Cambria" w:hAnsi="Cambria" w:eastAsia="宋体" w:cs="Times New Roman"/>
      <w:color w:val="244061"/>
    </w:rPr>
  </w:style>
  <w:style w:type="character" w:customStyle="1" w:styleId="31">
    <w:name w:val="标题 6 字符"/>
    <w:link w:val="8"/>
    <w:semiHidden/>
    <w:qFormat/>
    <w:uiPriority w:val="9"/>
    <w:rPr>
      <w:rFonts w:ascii="Cambria" w:hAnsi="Cambria" w:eastAsia="宋体" w:cs="Times New Roman"/>
      <w:i/>
      <w:iCs/>
      <w:color w:val="244061"/>
    </w:rPr>
  </w:style>
  <w:style w:type="character" w:customStyle="1" w:styleId="32">
    <w:name w:val="标题 7 字符"/>
    <w:link w:val="9"/>
    <w:semiHidden/>
    <w:qFormat/>
    <w:uiPriority w:val="9"/>
    <w:rPr>
      <w:rFonts w:ascii="Cambria" w:hAnsi="Cambria" w:eastAsia="宋体" w:cs="Times New Roman"/>
      <w:i/>
      <w:iCs/>
      <w:color w:val="404040"/>
    </w:rPr>
  </w:style>
  <w:style w:type="character" w:customStyle="1" w:styleId="33">
    <w:name w:val="标题 8 字符"/>
    <w:link w:val="10"/>
    <w:semiHidden/>
    <w:qFormat/>
    <w:uiPriority w:val="9"/>
    <w:rPr>
      <w:rFonts w:ascii="Cambria" w:hAnsi="Cambria" w:eastAsia="宋体" w:cs="Times New Roman"/>
      <w:color w:val="4F81BD"/>
      <w:sz w:val="20"/>
      <w:szCs w:val="20"/>
    </w:rPr>
  </w:style>
  <w:style w:type="character" w:customStyle="1" w:styleId="34">
    <w:name w:val="标题 9 字符"/>
    <w:link w:val="11"/>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3"/>
    <w:semiHidden/>
    <w:qFormat/>
    <w:uiPriority w:val="99"/>
    <w:rPr>
      <w:sz w:val="22"/>
      <w:szCs w:val="22"/>
      <w:lang w:eastAsia="en-US"/>
    </w:rPr>
  </w:style>
  <w:style w:type="character" w:customStyle="1" w:styleId="36">
    <w:name w:val="批注框文本 字符"/>
    <w:link w:val="14"/>
    <w:semiHidden/>
    <w:qFormat/>
    <w:uiPriority w:val="99"/>
    <w:rPr>
      <w:sz w:val="18"/>
      <w:szCs w:val="18"/>
      <w:lang w:eastAsia="en-US"/>
    </w:rPr>
  </w:style>
  <w:style w:type="character" w:customStyle="1" w:styleId="37">
    <w:name w:val="页脚 字符"/>
    <w:link w:val="15"/>
    <w:qFormat/>
    <w:uiPriority w:val="99"/>
    <w:rPr>
      <w:rFonts w:ascii="宋体" w:hAnsi="宋体" w:eastAsia="宋体" w:cs="宋体"/>
      <w:sz w:val="18"/>
      <w:szCs w:val="18"/>
      <w:lang w:val="zh-CN" w:eastAsia="zh-CN" w:bidi="zh-CN"/>
    </w:rPr>
  </w:style>
  <w:style w:type="character" w:customStyle="1" w:styleId="38">
    <w:name w:val="页眉 字符"/>
    <w:link w:val="16"/>
    <w:qFormat/>
    <w:uiPriority w:val="99"/>
    <w:rPr>
      <w:rFonts w:ascii="宋体" w:hAnsi="宋体" w:eastAsia="宋体" w:cs="宋体"/>
      <w:sz w:val="18"/>
      <w:szCs w:val="18"/>
      <w:lang w:val="zh-CN" w:eastAsia="zh-CN" w:bidi="zh-CN"/>
    </w:rPr>
  </w:style>
  <w:style w:type="character" w:customStyle="1" w:styleId="39">
    <w:name w:val="副标题 字符"/>
    <w:link w:val="17"/>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4"/>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3"/>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3803</Words>
  <Characters>21682</Characters>
  <Lines>180</Lines>
  <Paragraphs>50</Paragraphs>
  <TotalTime>0</TotalTime>
  <ScaleCrop>false</ScaleCrop>
  <LinksUpToDate>false</LinksUpToDate>
  <CharactersWithSpaces>25435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2022-03-30T15:12:20Z</dcterms:modified>
  <dc:title>甲方：深圳市防洪设施管理处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